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5" w:rsidRPr="009D7DE7" w:rsidRDefault="009A0475"/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ТЕОРИЯ ЛИНЕЙНЫХ СИСТЕМ АВТОМАТИЧЕСКОГО    РЕГУЛИРОВАНИЯ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1. Составление функциональных схем по принципиальным схемам систем автоматического регулирования. 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2. Математическое описание систем автоматического регулирования. Формы записи дифференциальных уравнений. Определение передаточных функций отдельных элементов функциональных схем. 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3. Типовые звенья. Дифференциальные уравнения, передаточные функции, временные и частотные характеристики звеньев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4. Основные правила составления и преобразования структурных схем и определение передаточных функций систем.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5. Построение логарифмических частотных характеристик звеньев и систем.  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7. Исследование устойчивости линейных систем с применением критерия Гурвица, </w:t>
      </w:r>
      <w:proofErr w:type="spellStart"/>
      <w:r w:rsidRPr="009D7DE7">
        <w:rPr>
          <w:rFonts w:ascii="Times New Roman" w:hAnsi="Times New Roman" w:cs="Times New Roman"/>
          <w:sz w:val="28"/>
          <w:szCs w:val="28"/>
        </w:rPr>
        <w:t>Льенар-Шипара</w:t>
      </w:r>
      <w:proofErr w:type="spellEnd"/>
      <w:r w:rsidRPr="009D7DE7">
        <w:rPr>
          <w:rFonts w:ascii="Times New Roman" w:hAnsi="Times New Roman" w:cs="Times New Roman"/>
          <w:sz w:val="28"/>
          <w:szCs w:val="28"/>
        </w:rPr>
        <w:t>.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8.Исследование устойчивости линейных систем на основе построения годографа Михайлова.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9. Исследование устойчивости линейных систем на основе построения графиков вещественной и мнимой функций Михайлова.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10. 11. Исследование устойчивости линейной системы по логарифмическим частотным характеристикам. 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>12. Определение областей устойчивости по одному и двум параметрам.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13. Определение запасов устойчивости системы по амплитуде и фазе на основе построения графика амплитудной фазовой частотной характеристики разомкнутой системы.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14. Определение запасов устойчивости системы по амплитуде и фазе на основе построения графиков логарифмических частотных характеристик.</w:t>
      </w:r>
    </w:p>
    <w:p w:rsidR="009D7DE7" w:rsidRPr="009D7DE7" w:rsidRDefault="009D7DE7" w:rsidP="009D7DE7">
      <w:pPr>
        <w:jc w:val="both"/>
        <w:rPr>
          <w:rFonts w:ascii="Times New Roman" w:hAnsi="Times New Roman" w:cs="Times New Roman"/>
          <w:sz w:val="28"/>
          <w:szCs w:val="28"/>
        </w:rPr>
      </w:pPr>
      <w:r w:rsidRPr="009D7DE7">
        <w:rPr>
          <w:rFonts w:ascii="Times New Roman" w:hAnsi="Times New Roman" w:cs="Times New Roman"/>
          <w:sz w:val="28"/>
          <w:szCs w:val="28"/>
        </w:rPr>
        <w:t xml:space="preserve"> 15. Определение прямых и косвенных оценок качества </w:t>
      </w:r>
      <w:proofErr w:type="spellStart"/>
      <w:r w:rsidRPr="009D7DE7">
        <w:rPr>
          <w:rFonts w:ascii="Times New Roman" w:hAnsi="Times New Roman" w:cs="Times New Roman"/>
          <w:sz w:val="28"/>
          <w:szCs w:val="28"/>
        </w:rPr>
        <w:t>регулировани</w:t>
      </w:r>
      <w:proofErr w:type="spellEnd"/>
      <w:r w:rsidRPr="009D7DE7">
        <w:rPr>
          <w:rFonts w:ascii="Times New Roman" w:hAnsi="Times New Roman" w:cs="Times New Roman"/>
          <w:sz w:val="28"/>
          <w:szCs w:val="28"/>
        </w:rPr>
        <w:t xml:space="preserve"> линейной системой.</w:t>
      </w:r>
    </w:p>
    <w:p w:rsidR="009D7DE7" w:rsidRPr="009D7DE7" w:rsidRDefault="009D7DE7" w:rsidP="009D7DE7"/>
    <w:p w:rsidR="009D7DE7" w:rsidRPr="009D7DE7" w:rsidRDefault="009D7DE7" w:rsidP="009A0475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Методические  указания к выполнению </w:t>
      </w:r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практических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работ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Составитель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</w:t>
      </w:r>
      <w:proofErr w:type="gramEnd"/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ортанбаева</w:t>
      </w:r>
      <w:proofErr w:type="spellEnd"/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А.Т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Теория линейных систем автоматического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ре-гулирования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 Методические  указания к выполнению </w:t>
      </w:r>
      <w:proofErr w:type="spellStart"/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практический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ра-бот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студентов специальности 5В070200 – Автоматизация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управле-ние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–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Алматы</w:t>
      </w:r>
      <w:proofErr w:type="spellEnd"/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методических указаниях приведено описание </w:t>
      </w:r>
      <w:proofErr w:type="spellStart"/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практический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работ, предназначенных для формирования навыков экспериментального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исследова-ния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линейных систем автоматического регулирования (САР). Даны краткие теоретические сведения о математическом описании, устойчивости и оценке качества линейных непрерывных САР, о типовых динамических звеньях.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При-ведены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опис</w:t>
      </w:r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ание практическ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ого оборудования, методики проводимых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измере-ний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обработки опытных данных, перечень рекомендуемой литературы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кон-трольные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вопросы.</w:t>
      </w:r>
    </w:p>
    <w:p w:rsidR="0076569D" w:rsidRPr="009D7DE7" w:rsidRDefault="0076569D" w:rsidP="000426F5">
      <w:pPr>
        <w:spacing w:after="0" w:line="240" w:lineRule="auto"/>
        <w:ind w:right="19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Выпускники специальности 5В070200 – «Автоматизация и управление» должны уметь анализировать и разрабатывать линейные САР для различных технологических объектов и процессов. </w:t>
      </w:r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Существенную помощь в приобрете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нии навыков по анализу и синтезу таких систем,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помимо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практических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заня-тий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окажет </w:t>
      </w:r>
      <w:proofErr w:type="spellStart"/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практический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практикум.</w:t>
      </w:r>
    </w:p>
    <w:p w:rsidR="009A0475" w:rsidRPr="009D7DE7" w:rsidRDefault="0076569D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Практический</w:t>
      </w:r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</w:t>
      </w:r>
      <w:proofErr w:type="spell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работы выполняются на учебных стендах, в которых </w:t>
      </w:r>
      <w:proofErr w:type="spellStart"/>
      <w:proofErr w:type="gram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ус-тановлены</w:t>
      </w:r>
      <w:proofErr w:type="spellEnd"/>
      <w:proofErr w:type="gram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промышленные импульсные регуляторы и исполнительные </w:t>
      </w:r>
      <w:proofErr w:type="spell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меха-низмы</w:t>
      </w:r>
      <w:proofErr w:type="spell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а также широко распространенные в современных САР [1-7] </w:t>
      </w:r>
      <w:proofErr w:type="spell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электрон-ные</w:t>
      </w:r>
      <w:proofErr w:type="spell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устройства на операционных усилителях. Каждый стенд оснащен </w:t>
      </w:r>
      <w:proofErr w:type="spellStart"/>
      <w:proofErr w:type="gram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много-канальным</w:t>
      </w:r>
      <w:proofErr w:type="spellEnd"/>
      <w:proofErr w:type="gram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аналого-цифровым преобразователем (АЦП) и ПЭВМ со </w:t>
      </w:r>
      <w:proofErr w:type="spell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специаль-ным</w:t>
      </w:r>
      <w:proofErr w:type="spell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программным обеспечением, позволяющими измерять и регистрировать одновременно несколько сигналов, а также строить графики их </w:t>
      </w:r>
      <w:proofErr w:type="spell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функциональ-ных</w:t>
      </w:r>
      <w:proofErr w:type="spell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зависимостей.</w:t>
      </w:r>
    </w:p>
    <w:p w:rsidR="009A0475" w:rsidRPr="009D7DE7" w:rsidRDefault="0076569D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До дня проведения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праактическ</w:t>
      </w:r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ой</w:t>
      </w:r>
      <w:proofErr w:type="spell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работы студент должен к ней </w:t>
      </w:r>
      <w:proofErr w:type="spellStart"/>
      <w:proofErr w:type="gram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подгото-виться</w:t>
      </w:r>
      <w:proofErr w:type="spellEnd"/>
      <w:proofErr w:type="gram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прочитать ее описание, выполнить предварительное расчетное </w:t>
      </w:r>
      <w:proofErr w:type="spell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зада-ние</w:t>
      </w:r>
      <w:proofErr w:type="spell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обработать экспериментальные данные предыдущей работы. Вся без </w:t>
      </w:r>
      <w:proofErr w:type="spellStart"/>
      <w:proofErr w:type="gramStart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ис-ключения</w:t>
      </w:r>
      <w:proofErr w:type="spellEnd"/>
      <w:proofErr w:type="gramEnd"/>
      <w:r w:rsidR="009A0475"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литература, приведенная в конце данных методических указаний, имеется в библиотеке университета.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Отчеты по </w:t>
      </w:r>
      <w:proofErr w:type="spellStart"/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практический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работам излагаются и оформляются в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соответ-ствии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требованиями фирменного стандарта [8]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Алматинского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университета энергетики и связи. Данные отчеты должны обязательно содержать выводы, в которых анализируются проведенные эксперименты, сравниваются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получен-ные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данные с теоретическими расчетами, отмечается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познавательная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цен-ность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полученных результатов для усвоения учебного материала. Отчет по </w:t>
      </w:r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практической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работе должен быть защищен студентом.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1 </w:t>
      </w:r>
      <w:r w:rsidR="0076569D"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Практическая</w:t>
      </w: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работа. Позиционные динамические звенья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gramStart"/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 работы: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приобретение навыков экспериментального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исследова-ния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статических (СХ), переходных (ПХ) и амплитудно-частотных (АЧХ)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ха-рактеристик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и определения по ним параметров передаточных функций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типо-вых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позиционных звеньев систем автоматического регулирования (САР).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Оборудование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(см. рисунок 1): установленные в настольном стенде «Многоконтурные САУ» регулируемый стабилизированный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двухполярный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источник возмущения (ИВ) с встроенным стрелочным вольтметром,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выпол-ненная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операционных усилителях трехзвенная электронная модель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объек-та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управления (МОУ), стрелочный вольтметр V1, четырехканальный АЦП и ПЭВМ со специальным программным обеспечением, позволяющие измерять и регистрировать одновременно четыре сигнала, а также низкочастотный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ге-нератор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например, функциональный генератор DEGEM SYSTEM-141В1 или прецизионный генератор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Г3-110.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повышения стабильности амплитуды выходного напряжения в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наз-ванных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генераторах применены сложные замкнутые системы автоматической стабилизации.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АЦП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предназначен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оцифровки аналоговых сигналов, снимаемых с выбранных точек стенда. Специальное программное обеспечение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предназна-чено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числовой обработки, визуализации и регистрации сигналов,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посту-пающих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 АЦП стенда.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Стенд представляет собой ряд закрепленных на общей раме модулей, образующих единое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наборно-коммутационное поле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имеющих постоянные внутренние электрические соединения между собой. Необходимые для выполнения рабочего задания схемы собираются на наборно-коммутационном  поле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 помощью делителей напряжения (потенциометров)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…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резисторов,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конденсаторов, тумблеров и специальных гибких электрических проводников разной длины, называемых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коммутационными шнурами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noProof/>
          <w:sz w:val="28"/>
          <w:szCs w:val="28"/>
          <w:lang w:eastAsia="zh-CN"/>
        </w:rPr>
        <w:drawing>
          <wp:inline distT="0" distB="0" distL="0" distR="0">
            <wp:extent cx="5740400" cy="2336800"/>
            <wp:effectExtent l="0" t="0" r="0" b="0"/>
            <wp:docPr id="1" name="Рисунок 1" descr="http://libr.aues.kz/facultet/tef/kaf_ik/45/umm/ik_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.aues.kz/facultet/tef/kaf_ik/45/umm/ik_3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Рисунок 1- Функционально-принципиальная схема </w:t>
      </w:r>
      <w:r w:rsidR="0076569D"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практическ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ой установки для исследования линейных САР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Коммутационные шнуры имеют на своих концах однополюсные вилки, которые вставляются в гнезда наборно-коммутационного поля.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Электричес-кие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схемы модулей стенда имеют «общую точку», поэтому для соединения соответствующих входа и выхода модулей достаточно одного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коммутацион-ного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шнура.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Верхнее положение ручек тумблеров стенда соответствует их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включен-ному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состоянию. Стрелочный вольтметр модуля ИВ имеет нуль посредине шкалы. Расположение стрелки справа (слева) от нуля соответствует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положи-тельному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(отрицательному) напряжению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Для удобства коммутации  выход каждого операционного усилителя повторен (размножен) три раза. Данные усилители имеют один вход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инвер-тирующий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 Коэффициенты передачи делителей напряжения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…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с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по-мощью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установочных ручек 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регулируются в пределах 0…1.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Измерение и регистрация сравнительно высокочастотных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импульс-ных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сигналов могут производиться с помощью сервисного двухканального осциллографа типа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- 83 или портативного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осциллографа-мультиметра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типа С1-107, оснащенных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осциллографическими пробниками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стандартной конструкции.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Резисторы и конденсаторы  МОУ имеют следующие номинальные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зна-чения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10 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1 Мом;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200 кОм;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4,7 мкФ;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10 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1 мкФ;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11 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0,47 мкФ;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8 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0,22 мкФ.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     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1.1  Краткие теоретические сведения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1.1.1 Типовые динамические звенья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Для расчета САР они обычно разбиваются на динамические звенья. Под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динамическим звеном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понимают устройство любой физической природы и конструктивного оформления, но описываемое определенным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дифферен-циальным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уравнением [2, 9]. Классификация звеньев производится именно  по виду этого уравнения или,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что то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же самое, по виду их передаточной функции.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Одним и тем же уравнением могут описываться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разнообразные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устрой-ства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Для теории автоматического управления (ТАУ) это будет один и тот же тип звена. Под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типовым динамическим звеном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понимают звено, которое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опи-сывается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дифференциальным уравнением не выше второго порядка.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 звеньях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позиционного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или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статического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типа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выходная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входная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ве-личины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установившемся режиме связаны линейной зависимостью. К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пози-ционным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относятся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пропорциональное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безынерционное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усилительное),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инерционное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(апериодическое),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колебательное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консервативное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звенья.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994400" cy="3898900"/>
            <wp:effectExtent l="0" t="0" r="0" b="0"/>
            <wp:docPr id="2" name="Рисунок 2" descr="http://libr.aues.kz/facultet/tef/kaf_ik/45/umm/ik_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.aues.kz/facultet/tef/kaf_ik/45/umm/ik_3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Рисунок 2 – Схемы позиционных звеньев на операционных усилителях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Передаточная функция пропорционального звена равна постоянной величине  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к. Примером  такого звена является  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широкополосный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литель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постоянного тока (УПТ), реализованный на элементах МОУ (см.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 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сунок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2, 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 При этом [2, 10] его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коэффициент передачи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определяется по формуле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 = -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⁄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Переходная функция пропорционального звена представляет собой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сту-пенчатую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функцию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к ∙1(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), а АЧХ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= к и постоянна на всех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часто-тах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Пропорциональное звено является идеализацией реальных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Передаточная функция инерционного звена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= к  ⁄ (1+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). Примером такого звена является фильтр низкой частоты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(сглаживающий), реализованный на элементах МОУ (см. рисунок 2,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 При этом [2, 10] его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коэффициент 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пере-дачи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 </w:t>
      </w:r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постоянная</w:t>
      </w:r>
      <w:proofErr w:type="gram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времени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определяются соответственно выражениями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                       к = -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⁄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;       Т 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- 4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где 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- 4 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– суммарная емкость параллельно включенных конденсаторов в обратной связи операционного усилителя первого звена МОУ.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Передаточная функция колебательного звена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к  ⁄ (Т</w:t>
      </w:r>
      <w:r w:rsidRPr="009D7DE7">
        <w:rPr>
          <w:rFonts w:ascii="Georgia" w:eastAsia="Times New Roman" w:hAnsi="Georgia" w:cs="Times New Roman"/>
          <w:sz w:val="28"/>
          <w:szCs w:val="28"/>
          <w:vertAlign w:val="super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r w:rsidRPr="009D7DE7">
        <w:rPr>
          <w:rFonts w:ascii="Georgia" w:eastAsia="Times New Roman" w:hAnsi="Georgia" w:cs="Times New Roman"/>
          <w:sz w:val="28"/>
          <w:szCs w:val="28"/>
          <w:vertAlign w:val="super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+ 2ξ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Тр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+ 1). Примером такого звена является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частотно-избирательное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электронное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устрой-ство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реализованное на элементах МОУ (см. рисунок 2,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 При этом [10, 11] его коэффициент передачи,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коэффициент затухания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демпфирования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постоян-ная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времени определяются соответственно выражениями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                 к = -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10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⁄ (α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);         ξ = Т ⁄ (2R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- 4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                   Т 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√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{R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8 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10 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- 4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5- 8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⁄ (α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)}.   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Консервативное звено является частным случаем колебательного звена при коэффициенте затухания ξ = 0 (отключен резистор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1.1.2 Электронно-лучевые осциллографы.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 Приборы, предназначенные для визуального наблюдения, измерения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ре-гистрации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электрических сигналов в диапазоне частот от постоянного тока до сотен гигагерц, называют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осциллографами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Осциллографы находят широкое применение в различных областях человеческой деятельности.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 эксплуатации радиоэлектронных средств САР распространение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полу-чили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электронно-лучевые осциллографы [12 - 18]. Данные осциллографы по функциональному назначению делят на следующие виды: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 универсальные; С7 – скоростные и стробоскопические; С8 – запоминающие; С9 – специальные. Кроме того, выделяют осциллографы многолучевые, многоканальные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двухка-нальные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и цифровые.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 В электронно-лучевых (электронных) осциллографах для наблюдения и измерения параметров сигнала используют экран электронно-лучевой трубки (ЭЛТ). В основу работы такого осциллографа положен принцип управления электронным лучом трубки самим исследуемым сигналом.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         Универсальные электронные осциллографы обладают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большими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возмож-ностями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Они позволяют наблюдать параметры различных сигналов в широком диапазоне уровней (от долей милливольт до сотен вольт) и частот (до десятков мегагерц). В универсальных осциллографах исследуемый сигнал обычно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пода-ется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через канал вертикального отклонения Y на вертикально отклоняющие пластины, а развертка изображения осуществляется через пластины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горизон-тального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отклонения за счет использования сигнала развертки.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 В осциллографе для отсчета отклонения луча по вертикали и горизонтали используется измерительная сетка-шкала, имеющая равноотстоящие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вертикаль-ные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горизонтальные линии, образующие отсчетные деления.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Площадь, занимаемая шкалой на экране, определяет рабочую площадь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эк-рана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ЭЛТ, в пределах которой гарантированы технические параметры прибора. Осевые горизонтальные и вертикальные линии сетки, проходящие через центр экрана, дополнительно разбивают на 5 (осциллограф С1-107) или 10 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осцилло-граф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- 83) вспомогательных малых делений в каждом основном делении для точных измерений.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 С помощью шкалы, используя значения масштабных коэффициентов по вертикали и горизонтали, можно непосредственно измерять на экране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времен-ные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параметры и напряжение сигнала. Масштабным коэффициентом измерения напряжения является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коэффициент отклонения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– напряжение на входе канала Y, соответствующее отклонению луча ЭЛТ на 1 деление шкалы по вертикали.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Масштабным коэффициентом при измерении интервалов времени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являет-ся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коэффициент развертки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определяемый как интервал времени, за который луч ЭЛТ пробегает по экрану расстояние, равное 1 делению по горизонтали. В осциллографах, имеющих «растяжку», значение коэффициента развертки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умно-жается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установленный множитель «растяжки».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Коэффициенты отклонения и развертки в осциллографах имеют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фиксиро-ванные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значения, точность которых определяет класс точности осциллографа. Следует помнить, что использование плавной регулировки коэффициентов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от-клонения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развертки исключает гарантированную точность измерения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напря-жения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времени.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         Для достижения минимальных погрешностей при измерении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амплитуд-ных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временных характеристик сигналов необходимо устанавливать значение коэффициента отклонения или развертки таким, чтобы измеряемый интервал (напряжение или время) составлял более 30 % шкалы по вертикали или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гори-зонтали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находился в центральной части шкалы, в которой обычно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гарантиро-вана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более высокая точность калибровки.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Целесообразно, чтобы измеряемая часть сигнала занимала 80 – 90 %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рабо-чей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площади экрана ЭЛТ. В этом случае погрешность измерения можно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умень-шить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1,5 – 2 раза по сравнению с погрешностью, приведенной в технических характеристиках прибора.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Измеряя напряжение, удобно совмещать уровень сигнала, принятый за нулевой, с нижней горизонтальной линией, а уровень сигнала в интересующей точке отсчитывать, пользуясь центральной вертикальной линией, имеющей большие и малые деления.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1.1.3 Измерение амплитудных и временных параметров сигналов с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по-мощью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универсального осциллографа.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Универсальный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электронный осциллограф позволяет измерять значения постоянного, переменного и импульсного сигналов. Измерение осуществляется в амплитудных значениях напряжения электрического тока. При этом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измеряе-мый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сигнал подается на вход канала Y вертикального отклонения луча ЭЛТ.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Широкое распространение при измерении напряжений исследуемых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сиг-налов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получил метод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калиброванной шкалы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[12 – 15, 17, 18]. Он основан на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ли-нейной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зависимости между значением напряжения сигнала, поданного на вход канала Y, и размером его изображения на экране ЭЛТ (в мм, делениях шкалы). В этом случае при измерении напряжения путем изменения коэффициента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от-клонения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ОТК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добиваются получения размера изображаемого сигнала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пре-делах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шкалы ЭЛТ и измеряют его.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 откалиброванном усилителе вертикального отклонения измеренное напряжение вычисляют по формуле  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ОТК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Например,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3,5 дел,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ОТК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= 0,2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/дел, тогда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= 0,7 В. При данном измерении генератор развертки может быть отключен. Он включается при необходимости оценить форму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исследуемо-го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напряжения.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Погрешность измерения амплитудных  параметров сигналов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напряже-ний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рассматриваемым методом составляет 5…10 %. Она определяется рядом факторов. Основными из них являются частотные и нелинейные искажения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ка-нала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Y, погрешности коэффициента отклонения и визуального отсчета.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Некото-рые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составляющие погрешности измерения напряжений можно исключить или учесть при обработке результатов измерений.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Под временными параметрами сигналов понимаются период,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длитель-ность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импульсов, длительность фронтов импульсов, интервал между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импульса-ми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т.д. Чаще всего измерение временных параметров сигналов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осуществляет-ся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методом калиброванной шкалы и методом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яркостных меток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[12–15, 17, 18].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 измерениях методом калиброванной шкалы измеряемый сигнал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по-дают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вход канала Y и изменением положения переключателя коэффициента развертки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 значении множителя растяжки развертки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n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добиваются,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что-бы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измеряемая часть изображения сигнала занимала всю ширину экрана ЭЛТ, и измеряют линейный размер сигнала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Искомое значение измеряемого временного интервала Т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вычисляют по формуле  Т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 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n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Например, при измерении длительности импульса Т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 размер изображения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2,4 дел,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= 0,5 мс/дел,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n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0,1. Тогда Т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0,12 мс.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 Погрешность данного метода высокая и составляет обычно 5…10 %. Она определяется погрешностями коэффициента развертки и визуального отсчета, нелинейностью временной развертки и др.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1.2 Рабочее задание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 1.2.1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знакомиться с конструкцией и техническим описанием стенда «Многоконтурные САУ», применяемых радиоизмерительных приборов.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1.2.2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обрать, опробовать и настроить (на первом звене МОУ)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пропор-циональное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звено. Снять и графически построить его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статическую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характе-ристику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(СХ)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1.2.3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нять переходной процесс сигнала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при ступенчатом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изме-нении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воздействия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АЧХ пропорционального звена.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Рассчитать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пос-троить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его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асимптотическую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логарифмическую АЧХ (ЛАЧХ).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1.2.4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обрать, опробовать и настроить  (на первом звене МОУ)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инерци-онное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звено. Провести его исследование аналогично исследованию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пропор-ционального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1.2.5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обрать, опробовать и настроить колебательное звено. Провести его исследование аналогично исследованию пропорционального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1.2.6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обрать и опробовать в статике и динамике консервативное звено.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1.2.7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 основании всех проведенных экспериментов определить вид и параметры передаточных функций  исследуемых звеньев. Сравнить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расчет-ные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полученные различными экспериментами значения параметров этих передаточных функций.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1.3  Порядок выполнения </w:t>
      </w:r>
      <w:r w:rsidR="0076569D"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практическо</w:t>
      </w: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й работы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 схему пропорционального звена в соответствии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рисун-ком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2, 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Значение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установить согласно указанию преподавателя.  К входу и выходу звена подключить соответственно выход ИВ и вольтметр V1 для измерения напряжения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1.3.2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стенд. Включить ИВ. Изменяя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напряже-ние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снять и графически построить СХ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данного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1.3.3 Входы первого и второго каналов АЦП соединить с выходами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со-ответственно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ИВ и исследуемого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1.3.4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ПЭВМ. Запустить программу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регистра-ции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измеряемых сигналов двойным щелчком левой кнопки «мыши» по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ярлы-ку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«САР» на рабочем столе.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Регистрация сигналов начинается (продолжается) или заканчивается (останавливается) после выбора щелчком левой кнопки «мыши» подпунктов соответственно «Соединить» или «Разъединить» меню «Измерение».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После останова регистрации диаграмма сигналов остается неизменной для просмотра, сохранения данных или настройки ее внешнего вида.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 Настройка диаграммы сигналов может выполняться предварительно или во время измерений с помощью диалогового окна, которое выводится на экран ПЭВМ после выбора двойным щелчком левой кнопки «мыши»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подпун-кта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«Настройка» меню «Измерение».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 время настройки регистрация сигналов, проводившаяся в режиме «Измерение», временно прекращается и автоматически возобновляется при завершении настройки.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режиме «Настройка» могут независимо меняться масштабы всех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че-тырех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отображаемых сигналов и масштаб времени.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1.3.5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арегистрировать одновременные переходные процессы сигналов 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при ступенчатом изменении последнего с 0 до 2 В и с 2 В до 0.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1.3.6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генератор и осциллограф. Подключить выход генератора к одному из входов осциллографа. Изменяя частоту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генера-тора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убедиться в независимости амплитуды напряжения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генерируемых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сигна-лов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 их частоты.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1.3.7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одключить выход генератора к входу исследуемого звена, 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вхо-ды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осциллографа - к входу и выходу этого звена для измерения амплитуд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на-пряжения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входного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выходного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сигналов и наблюдения формы этих сигналов.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Если в п. 1.3.6 установлена независимость амплитуды сигнала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генерато-ра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 частоты, то можно использовать только один вход двухканального осциллографа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- 83 (или одноканальный осциллограф С1- 107) при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пооче-редном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одном измерении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многократных измерениях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1.3.8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 снятии АЧХ пропорционального звена амплитуду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целе-сообразно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поддерживать постоянной и равной значению, при котором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отсут-ствуют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нелинейные искажения в выходном сигнале.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Результаты измерений частоты генератора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f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амплитуд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вычислений угловой частоты  ω = 2πf, коэффициентов усиления  L = 20lgК и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К =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/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занести в таблицу 1. Значения частоты в ней указаны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приме-нительно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  генератору  ГЗ -110. При необходимости могут быть применены и большие значения частоты: 328, 656, 1312, 2624, 5248 Гц  и т. д.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1.3.9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обрать схему инерционного звена в соответствии с рисунком 2,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  Для этого дополнительно к  п. 1.3.1 подключается задаваемая преподавателем комбинация  конденсаторов  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…С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Исследование этого звена проводится аналогично пунктам 1.3.2…1.3.8.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 а б л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ц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  1</w:t>
      </w:r>
    </w:p>
    <w:tbl>
      <w:tblPr>
        <w:tblW w:w="93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5"/>
        <w:gridCol w:w="632"/>
        <w:gridCol w:w="630"/>
        <w:gridCol w:w="631"/>
        <w:gridCol w:w="637"/>
        <w:gridCol w:w="600"/>
        <w:gridCol w:w="619"/>
        <w:gridCol w:w="623"/>
        <w:gridCol w:w="628"/>
        <w:gridCol w:w="236"/>
        <w:gridCol w:w="79"/>
        <w:gridCol w:w="157"/>
        <w:gridCol w:w="76"/>
        <w:gridCol w:w="76"/>
        <w:gridCol w:w="466"/>
        <w:gridCol w:w="73"/>
        <w:gridCol w:w="73"/>
        <w:gridCol w:w="469"/>
        <w:gridCol w:w="76"/>
        <w:gridCol w:w="76"/>
        <w:gridCol w:w="401"/>
        <w:gridCol w:w="72"/>
        <w:gridCol w:w="236"/>
        <w:gridCol w:w="236"/>
        <w:gridCol w:w="426"/>
        <w:gridCol w:w="222"/>
      </w:tblGrid>
      <w:tr w:rsidR="0076569D" w:rsidRPr="009D7DE7" w:rsidTr="0076569D">
        <w:trPr>
          <w:trHeight w:val="35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f</w:t>
            </w:r>
            <w:proofErr w:type="spellEnd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 Гц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232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232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5,12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639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164</w:t>
            </w:r>
          </w:p>
        </w:tc>
      </w:tr>
      <w:tr w:rsidR="0076569D" w:rsidRPr="009D7DE7" w:rsidTr="0076569D">
        <w:trPr>
          <w:gridAfter w:val="1"/>
          <w:wAfter w:w="228" w:type="dxa"/>
          <w:trHeight w:val="37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ω,  с 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-1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8,04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1033</w:t>
            </w:r>
          </w:p>
        </w:tc>
      </w:tr>
      <w:tr w:rsidR="0076569D" w:rsidRPr="009D7DE7" w:rsidTr="0076569D">
        <w:trPr>
          <w:gridAfter w:val="1"/>
          <w:wAfter w:w="228" w:type="dxa"/>
          <w:trHeight w:val="32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U</w:t>
            </w:r>
            <w:proofErr w:type="gramEnd"/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bscript"/>
                <w:lang w:eastAsia="ru-RU"/>
              </w:rPr>
              <w:t>ВХm</w:t>
            </w:r>
            <w:proofErr w:type="spellEnd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bscript"/>
                <w:lang w:eastAsia="ru-RU"/>
              </w:rPr>
              <w:t> 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569D" w:rsidRPr="009D7DE7" w:rsidTr="0076569D">
        <w:trPr>
          <w:gridAfter w:val="1"/>
          <w:wAfter w:w="228" w:type="dxa"/>
          <w:trHeight w:val="32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U</w:t>
            </w:r>
            <w:proofErr w:type="gramEnd"/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bscript"/>
                <w:lang w:eastAsia="ru-RU"/>
              </w:rPr>
              <w:t>ВЫХm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,В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569D" w:rsidRPr="009D7DE7" w:rsidTr="0076569D">
        <w:trPr>
          <w:gridAfter w:val="1"/>
          <w:wAfter w:w="228" w:type="dxa"/>
          <w:trHeight w:val="32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569D" w:rsidRPr="009D7DE7" w:rsidTr="0076569D">
        <w:trPr>
          <w:gridAfter w:val="1"/>
          <w:wAfter w:w="228" w:type="dxa"/>
          <w:trHeight w:val="32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L,  дБ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1.3.10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обрать схему колебательного звена в соответствии с рисунком 2,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Установить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= 1, а остальные органы настройки - согласно указанию преподавателя. Исследование этого звена проводится аналогично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исследова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нию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пропорционального звена. Для приведения интегратора второго звена МОУ в исходное состояние необходимо перед опытами на 3…5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 включать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резистор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1.3.11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 консервативное звено. Для этого вдобавок к п. 1.3.10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от-ключается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резистор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1.3.12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овторить п. 1.3.3. К входу рассматриваемого звена подключить ИВ. Привести интеграторы МОУ в исходное состояние, включив на 3…5 с одновременно резисторы 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Зарегистрировать одновременные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переход-ные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процессы сигналов 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при ступенчатом изменении последнего.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1.3.13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рименяя приложение А, рассчитать и построить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асимптотичес-кие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 исследованных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При построении ЛАЧХ рекомендуются следующие масштабы: для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уг-ловой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частоты  декада /10 см, 5 дБ /см - для модуля. Для откладывания по оси абсцисс угловой частоты  в логарифмическом масштабе может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использовать-ся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одна из логарифмических шкал счетной линейки.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1.3.14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формить в соответствии с [8] подробный отчет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вычерчивани-ем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собранных схем, таблиц и графиков полученных СХ, ЛАЧХ и переходных процессов, с выполнением п. 1.2.7 задания и написанием выводов.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1.4  Контрольные вопросы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 Передаточные функции позиционных звеньев первого порядка.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 Передаточные функции позиционных звеньев второго порядка.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 Переходные функции позиционных звеньев первого порядка.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 Переходные функции позиционных звеньев второго порядка.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5. ЛАЧХ и логарифмическая фазовая частотная характеристика (ЛФЧХ)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пози-ционных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звеньев первого порядка.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6. ЛАЧХ и ЛФЧХ позиционных звеньев второго порядка.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7. Амплитудно-фазовая характеристика (АФХ) инерционного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8. АФХ колебательного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9. Нахождение параметров инерционного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10. Нахождение параметров инерционного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11. Нахождение параметров колебательного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12. Построение ЛАЧХ и ЛФЧХ инерционного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13. Построение ЛАЧХ и ЛФЧХ колебательного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14. Понятие переходной характеристики, ее применимость и   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эксперименталь-ное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определение.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15. Понятие СХ, ее применимость и экспериментальное определение.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16. Понятие АЧХ, ее применимость и экспериментальное определение.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17. Понятие типового динамического звена. Виды типовых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18. Понятие передаточной функции.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2 </w:t>
      </w:r>
      <w:r w:rsidR="0076569D"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Практическая</w:t>
      </w: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работа. Интегрирующие и дифференцирующие звенья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 работы: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приобретение навыков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экспериментального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исследова-ния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переходных (ПХ) и амплитудно-частотных (АЧХ) характеристик  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оп-ределения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 ним параметров  передаточных функций типовых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интегрирую-щих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дифференцирующих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Применяемое оборудование и схема лабораторной установки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приведе-ны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разделе 1 и на рисунке 1.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2.1 Краткие теоретические сведения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2.1.1 Виды интегрирующих и дифференцирующих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Для входной Х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выходной Х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величин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звеньев интегрирующего типа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в установившемся режиме справедливо равенство Х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∫ Х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dt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откуда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про-изошло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название этого типа звеньев [2].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интегрирующим относятся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интег-рирующее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(идеальное) звено, интегрирующее  звено с замедлением и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изод-ромное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звено.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звеньях дифференцирующего типа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линейной зависимостью связаны в установившемся режиме выходная величина и производная входной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величи-ны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Х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к dХ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1  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⁄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dt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откуда и произошло название этого типа звеньев [2].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дифференцирующим относятся идеальное и реальное (с замедлением)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диф-ференцирующие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звенья, а также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форсирующее звено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Передаточная функция интегрирующего звена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= к  ⁄ р. Примером такого звена является операционный усилитель в режиме интегрирования,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ре-ализованный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элементах МОУ (см. рисунок 3,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). При этом [2, 11] его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коэф-фициент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передачи определяется выражением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                               к = -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⁄ (R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- 4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Передаточная функция дифференцирующего звена в виде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 удовлетворяет условию физической реализуемости, поэтому такое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дифференци-рующее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звено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идеальным.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Передаточная функция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реального дифференцирующего звена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имеет вид            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⁄ (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1+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 Примером такого звена является устройство, реализованное на элементах МОУ (см. рисунок 3,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и аналогичное промышленным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дифферен-циаторам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типа БДП комплекса АКЭСР. При этом [19, 20] его коэффициент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пе-редачи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постоянная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времени определяются соответственно выражениями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 = -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⁄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-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10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5- 8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⁄ (α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 =R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10 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5- 8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⁄ (α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noProof/>
          <w:sz w:val="28"/>
          <w:szCs w:val="28"/>
          <w:lang w:eastAsia="zh-CN"/>
        </w:rPr>
        <w:drawing>
          <wp:inline distT="0" distB="0" distL="0" distR="0">
            <wp:extent cx="6197600" cy="3111500"/>
            <wp:effectExtent l="0" t="0" r="0" b="0"/>
            <wp:docPr id="3" name="Рисунок 3" descr="http://libr.aues.kz/facultet/tef/kaf_ik/45/umm/ik_3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r.aues.kz/facultet/tef/kaf_ik/45/umm/ik_3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Рисунок 3 - Схемы интегрирующего (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и дифференцирующего (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звеньев на операционных усилителях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2.1.2 Измерительные генераторы сигналов.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lastRenderedPageBreak/>
        <w:t>Измерительные генераторы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(ИГ) – источники, вырабатывающие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ста-бильные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сигналы с известными параметрами, частотой, напряжением 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мощ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ностью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и формой [13, 14, 16, 17, 21, 22].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Измерительные генераторы обладают высокой точностью установки и стабильностью, а также возможностью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регули-ровки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параметров выходного сигнала. Их применяют при настройке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измери-тельной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радиоэлектронной аппаратуры, устройств автоматики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вычислитель-ной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техники, градуировки приборов [12, 23].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 помощью ИГ снимают амплитудные, амплитудно-частотные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переход-ные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характеристики четырехполюсников, определяют их коэффициенты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пере-дачи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шума; питают различные измерительные устройства, построенные на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ре-зонансных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мостовых методах.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 диапазону частот генерируемых сигналов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различают ИГ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инфраниз-кочастоные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 – до 20 Гц; низкочастотные  – 20 Гц … 200 кГц (20 Гц … 20 кГц – звуковые, 20… 200 кГц  – ультразвуковые);  высокочастотные  – 200 кГц …      50 МГц; сверхвысокочастотные с коаксиальным выходом  – 50 МГц …10 ГГц; сверхвысокочастотные с волноводным выходом – выше 10 ГГц.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 форме генерируемых сигналов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различают ИГ синусоидальных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сиг-налов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низкой частоты (Г3); синусоидальных сигналов высокой частоты (Г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); периодических импульсов прямоугольной формы (Г5); сигналов специальной формы (треугольной, трапецеидальной, пилообразной,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синус-квадратной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др.) (Г6); качающееся частоты – маломощные источники колебаний со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специаль-ным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часто линейным законом изменения частоты (Г8); шумовых сигналов – переменных напряжений с бесконечно широким сплошным спектром частот и калиброванным уровнем (Г2).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 виду модуляции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различают ИГ с модуляцией амплитудной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синусои-дальной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частотной синусоидальной, импульсной, частотной, фазовой,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комби-нированной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(одновременное осуществление двух видов модуляции и более).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 Измерительные генераторы характеризуются диапазоном генерируемых частот; точностью установки частоты и постоянством ее градуировки;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стабиль-ностью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генерируемых сигналов по частоте, амплитуде и форме; искажением генерируемых сигналов заданной формы; зависимостью параметров выходного сигнала от внешней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нагрузки и пределами их регулировки; степенью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экраниро-вания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паразитных электромагнитных полей.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2.2 Рабочее задание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2.2.1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обрать, опробовать и настроить (на первом звене МОУ)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интегри-рующее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звено. Снять переходной процесс сигнала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при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ступенчатом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из-менении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воздействия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2.2.2. Снять АЧХ интегрирующего звена. Рассчитать и построить его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асимптотическую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2.2.3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обрать, опробовать и настроить реальное дифференцирующее  звено. Провести его исследование аналогично исследованию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интегрирующе-го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2.2.4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 основании всех проведенных экспериментов определить вид и параметры передаточных функций  исследуемых звеньев. Сравнить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расчет-ные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полученные различными экспериментами значения параметров этих передаточных функций.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2.3 Порядок выполнения лабораторной работы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обрать схему интегрирующего звена в соответствии с рисунком 3,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Значения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емкости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1- 4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конденсаторов в обратной связи 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операцион-ного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усилителя установить согласно указанию преподавателя.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входу звена подключить выход ИВ. Входы первого и второго каналов АЦП соединить с выходами соответственно ИВ и данного звена.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2.3.3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ПЭВМ. Запустить программу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регистра-ции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измеряемых сигналов по п. 1.3.4. Включить ИВ. Для приведения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интег-ратора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в исходное состояние и в данном пункте и в дальнейшем необходимо на 3…5 с включать резистор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арегистрировать одновременные переходные процессы сигналов 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при ступенчатом изменении последнего.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2.3.5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генератор и осциллограф. Подключить выход генератора к одному из входов осциллографа. Изменяя частоту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генера-тора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убедиться в независимости амплитуды напряжения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генерируемых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сигна-лов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 их частоты.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2.3.6 Подключить выход генератора к входу исследуемого звена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,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вхо-ды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осциллографа - к входу и выходу этого звена для измерения амплитуд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на-пряжения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входного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выходного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сигналов и наблюдения формы этих сигналов.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Если в п. 2.3.5 установлена независимость амплитуды сигнала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генерато-ра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 частоты, то можно использовать только один вход двухканального осциллографа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- 83 (или одноканальный осциллограф С1- 107) при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пооче-редном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одном измерении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многократных измерениях  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2.3.7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 снятии АЧХ интегрирующего звена амплитуду 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целесо-образно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поддерживать постоянной и равной значению, при котором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отсутст-вуют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нелинейные искажения в выходном сигнале.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Результаты измерений частоты генератора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f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амплитуд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и вычислений угловой частоты  ω = 2πf, коэффициентов усиления  L = 20lgК и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/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занести в таблицу 1 (см. с. 12). Значения частоты в ней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указа-ны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применительно к  генератору  ГЗ -110. При необходимости могут быть применены и большие значения частоты: 328, 656, 1312, 2624, 5248 Гц и т. д.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2.3.8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 схему дифференцирующего звена в соответствии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ри-сунком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3, 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Значения коэффициентов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4 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…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емкости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5- 8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конденсаторов в  обратной связи усилителя установить согласно указанию преподавателя.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2.3.9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овторить п. 2.3.2. Для приведения интегратора  в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исходное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сос-тояние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в данном пункте и в дальнейшем необходимо на 3…5 с включать резистор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2.3.10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овторить пункты  2.3.4 и 2.3.6.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2.3.11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 снятии АЧХ дифференцирующего звена  амплитуду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на низких частотах следует применять максимально большую, а на средних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час-тотах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амплитуду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следует уменьшить до значения, при котором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отсутст-вуют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нелинейные искажения в выходном сигнале.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Результаты измерений частоты генератора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f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амплитуд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вычислений  угловой частоты ω = 2πf, коэффициентов усиления  L = 20lgК  и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 К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/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занести в таблицу 1(см. с. 12). Значения частоты в ней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указа-ны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применительно к  генератору  ГЗ -110. При необходимости могут быть применены и большие значения частоты: 328, 656, 1312, 2624, 5248 Гц и т. д.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 2.3.12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рименяя приложение А, рассчитать и построить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асимптотичес-кие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 исследованных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 построении ЛАЧХ рекомендуются следующие масштабы: для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уг-ловой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частоты  декада /10 см, 5 дБ /см - для модуля. Для откладывания по оси абсцисс угловой частоты  в логарифмическом масштабе может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использовать-ся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одна из логарифмических шкал счетной линейки.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2.3.13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формить в соответствии с [8] подробный отчет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вычерчивани-ем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собранных схем, таблиц и графиков  полученных ЛАЧХ и переходных процессов, с выполнением п. 2.2.4 задания и написанием выводов.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2.4  Контрольные вопросы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 Передаточные функции интегрирующих звеньев и их параметры.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2. Передаточные функции и параметры дифференцирующих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 Переходные функции интегрирующих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 Переходные функции дифференцирующих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5. ЛАЧХ и ЛФЧХ интегрирующих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6. ЛАЧХ и ЛФЧХ дифференцирующих звеньев.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7. Нахождение параметров интегрирующего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8. Нахождение параметров интегрирующего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9. Нахождение параметров дифференцирующего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10. Нахождение параметров дифференцирующего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11. Построение ЛАЧХ и ЛФЧХ интегрирующего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12. Построение ЛАЧХ и ЛФЧХ дифференцирующего звена по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13. Почему нереализуемо идеальное дифференцирующее звено?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14. Вид выходных сигналов интегратора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прямоугольных входных.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15. Вид выходных сигналов дифференциатора при треугольных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пилообраз-ных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входных сигналах.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16. Вид выходных сигналов дифференциатора при трапецеидальных 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синусо-идальных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входных сигналах.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17. Вид выходных сигналов дифференциатора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прямоугольных входных.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18. Вид выходных сигналов интегратора при симметричных прямоугольных импульсах (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меандр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на входе.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3 Лабораторная работа. Исследование характеристик звеньев САР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 работы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приобретение навыков экспериментального исследования  статических (СХ), переходных (ПХ) и амплитудно-частотных (АЧХ)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характе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ристик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и определения по ним передаточных функций звеньев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линейной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Оборудование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(см. рисунок 4): установленные в настольном стенде «Многоконтурные САУ» регулируемый стабилизированный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двухполярный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ис-точник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возмущения (ИВ) с встроенным стрелочным вольтметром, выполненная на операционных усилителях трехзвенная электронная модель САР,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стрелоч-ный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вольтметр V3, четырехканальный АЦП и ПЭВМ со специальным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програм-мным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обеспечением, позволяющие измерять и регистрировать одновременно четыре сигнала, а также низкочастотный генератор, например, функциональный генератор DEGEM SYSTEM-141В1 или прецизионный генератор Г3-110.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Для повышения стабильности амплитуды выходного напряжения в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наз-ванных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генераторах применены сложные замкнутые системы автоматической стабилизации.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Измерение и регистрация сравнительно высокочастотных сигналов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мо-гут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производиться с помощью сервисного осциллографа типа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- 83 или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пор-тативного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осциллографа-мультиметра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С1-107.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Стенд представляет собой ряд закрепленных на общей раме модулей, образующих единое наборно-коммутационное поле и имеющих постоянные внутренние электрические соединения между собой.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Необходимые для выполнения рабочего задания схемы собираются на наборно-коммутационном поле с помощью тумблеров и специальных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лабора-торных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электрических проводников разной длины. Электрические схемы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мо-дулей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стенда имеют «общую точку», поэтому для соединения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соответствую-щих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входа и выхода модулей достаточно одного проводника.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noProof/>
          <w:sz w:val="28"/>
          <w:szCs w:val="28"/>
          <w:lang w:eastAsia="zh-CN"/>
        </w:rPr>
        <w:drawing>
          <wp:inline distT="0" distB="0" distL="0" distR="0">
            <wp:extent cx="5854700" cy="2159000"/>
            <wp:effectExtent l="0" t="0" r="0" b="0"/>
            <wp:docPr id="4" name="Рисунок 4" descr="http://libr.aues.kz/facultet/tef/kaf_ik/45/umm/ik_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r.aues.kz/facultet/tef/kaf_ik/45/umm/ik_3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Рисунок 4 – Функционально-принципиальная схема лабораторной установки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Верхнее положение ручек тумблеров стенда соответствует их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включен-ному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состоянию. Коэффициенты передачи делителей напряжения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потенцио-метров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…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регулируются в пределах 0…1.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Более подробное описание лабораторного оборудования приведено в разделе 1.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>3.1 Краткие теоретические сведения о математическом описании непрерывных САР  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Анализ и синтез САР включает в себя следующие этапы: математическое описание, исследование установившихся режимов, исследование переходных режимов. Математическое описание в форме дифференциальных уравнений в ТАУ обычно не применяется из-за сложности их решения.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Исследование САР существенно упрощается при использовании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прик-ладных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математических методов операционного исчисления. Преобразование Лапласа позволяет свести задачу решения системы дифференциальных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урав-нений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высших порядков к решению системы алгебраических уравнений.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Дан-ное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преобразование дает возможность ввести фундаментальное понятие: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отно-шение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изображения выходной величины элемента (или системы) Y(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к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изоб-ражению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его входной величины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Х(</w:t>
      </w:r>
      <w:proofErr w:type="spellStart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при нулевых начальных условиях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назы-вается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передаточной  функцией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элемента (или системы).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Передаточная функция является основной формой математического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опи-сания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объектов в ТАУ, и так как она полностью определяет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динамические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свой-ства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объекта, то первоначальная задача расчета САР сводится к определению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[1, 24 - 36].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перехода из области изображений в частотную область достаточно в изображениях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Х(</w:t>
      </w:r>
      <w:proofErr w:type="spellStart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и Y(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заменить оператор Лапласа 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на оператор Фурье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Функция комплексного переменного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комплексным 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коэффи-циентом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передачи.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Функцию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можно представить в  показательной форме записи в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ви-де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выражения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                              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=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)е</w:t>
      </w:r>
      <w:r w:rsidRPr="009D7DE7">
        <w:rPr>
          <w:rFonts w:ascii="Georgia" w:eastAsia="Times New Roman" w:hAnsi="Georgia" w:cs="Times New Roman"/>
          <w:sz w:val="28"/>
          <w:szCs w:val="28"/>
          <w:vertAlign w:val="superscript"/>
          <w:lang w:eastAsia="ru-RU"/>
        </w:rPr>
        <w:t>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vertAlign w:val="superscript"/>
          <w:lang w:eastAsia="ru-RU"/>
        </w:rPr>
        <w:t>jφ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perscript"/>
          <w:lang w:eastAsia="ru-RU"/>
        </w:rPr>
        <w:t>(ω)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   где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и φ(ω) – модуль и аргумент комплексного коэффициента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пере-дачи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элемента (или системы).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Зависимость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показывает отношение амплитуд выходного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входно-го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гармонических сигналов при изменении частоты и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амплитудно-частотной характеристикой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(АЧХ). Зависимость φ(ω) показывает сдвиг фазы выходного гармонического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сигнала относительно входного при изменении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час-тоты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фазовой частотной характеристикой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(ФЧХ).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Для сокращения объема вычислительных работ АЧХ и ФЧХ изображают в логарифмическом масштабе. Величина L(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20lg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называется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логариф-мической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АЧХ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(ЛАЧХ). ФЧХ φ(ω),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построенная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полулогарифмическом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мас-штабе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логарифмической ФЧХ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(ЛФЧХ). Точка пересечения ЛАЧХ с осью абсцисс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частотой среза ω</w:t>
      </w:r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vertAlign w:val="subscript"/>
          <w:lang w:eastAsia="ru-RU"/>
        </w:rPr>
        <w:t>ср</w:t>
      </w:r>
      <w:proofErr w:type="gram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АЧХ и ФЧХ можно получить экспериментально. Рассчитав по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экспери-ментальным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данным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), путем замены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на </w:t>
      </w:r>
      <w:proofErr w:type="spellStart"/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р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можно получить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передаточ-ную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функцию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Под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временными характеристиками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понимается графическое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изображе-ние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процесса изменения выходной величины в функции времени при переходе системы из одного равновесного состояния в другое в результате поступления на вход системы некоторого типового воздействия.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Так как дифференциальное уравнение системы тоже определяет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измене-ние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выходной величины в функции времени при некоторых начальных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услови-ях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то временная характеристика изображает собой решение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дифференциально-го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уравнения для  принятого типового воздействия и, следовательно, полностью характеризует динамические свойства системы.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Поскольку временные характеристики могут быть получены не только путем решения дифференциального уравнения, но и экспериментально, то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воз-можность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определения динамических свойств системы по временной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характе-ристике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имеет исключительно важное практическое значение, так как в этом случае не требуется выводить и решать дифференциальное уравнение [1].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качестве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типового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наиболее широкое применение находит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единичное ступенчатое воздействие.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Графическое изображение реакции системы на это воздействие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переходной характеристикой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Аналитическое выражение переходной характеристики называется </w:t>
      </w:r>
      <w:proofErr w:type="spellStart"/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пере-ходной</w:t>
      </w:r>
      <w:proofErr w:type="spellEnd"/>
      <w:proofErr w:type="gram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функцией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Переходная характеристика  широко применяется при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прак-тических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расчетах [1], так как ее достаточно просто получить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эксперименталь-но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а определяемый ею переходной процесс часто возникает при включениях и изменениях (вариациях) задающего воздействия.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Зависимость выходной величины элемента (системы) от его входной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ве-личины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статическом (установившемся) режиме работы называется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стати-ческой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характеристикой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элемента (системы).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3.2 Рабочее задание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 3.2.1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знакомиться с конструкцией и техническим описанием стенда «Многоконтурные САУ», применяемых радиоизмерительных приборов.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3.2.2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нять и графически построить статические характеристики (СХ) трех звеньев САР. Определить линейные и нелинейные участки этих СХ.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3.2.3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нять переходные характеристики (ПХ) и АЧХ звеньев САР на линейном участке СХ. Рассчитать и построить их асимптотические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3.2.4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Н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 основании  проведенных экспериментов определить вид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па-раметры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передаточных функций  исследованных звеньев. Сравнить между собой значения коэффициентов усиления и постоянных времени,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получен-ных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 СХ, ПХ и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3.3  Порядок выполнения лабораторной работы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электронной модели (см. рисунок 4) включить резисторы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установить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1, а конденсаторы 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1…4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5…8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9…12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резистор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ис-пользуются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согласно указанию преподавателя. Тумблером «f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подключить выход ИВ к задающему входу первого звена модели. Вольтметр V3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подклю-чить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 выходу этого звена  для измерения напряжения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3.3.2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стенд. Включить ИВ. Изменяя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напряже-ние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снять и графически построить СХ  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первого звена модели по задающему входу.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тключить тумблер «f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», выход ИВ соединить проводником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вхо-дом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». Изменяя напряжение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снять и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графически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пост-роить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СХ 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первого звена модели по входу обратной связи.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3.3.4 Проводник с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переставить на вход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потенцио-метра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», вольтметр V3 подключить к выходу второго звена модели для измерения напряжения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3.3.5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становить коэффициент передачи второго звена модели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0,5. Для этого при некотором постоянном напряжении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например, 10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изме-ряют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напряжение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Изменяя положение движка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»,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до-биться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0,5U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5 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Полученное К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= 0,5 нужно поддерживать неизменным до конца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вы-полнения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лабораторной работы. Далее, изменяя напряжение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снять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гра-фически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построить СХ  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второго звена модели.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3.3.6 Проводник с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переставить на вход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потенцио-метра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», вольтметр V3 подключить к выходу третьего звена модели для измерения напряжения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Изменяя напряжение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снять и графически построить СХ  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третьего звена модели.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3.3.7 Входы первого, второго и третьего каналов АЦП соединить с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вы-ходами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соответственно первого, второго и третьего звеньев модели. Выход ИВ соединить с входами  потенциометров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»,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» и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».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3.3.8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ПЭВМ. Запустить программу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регистра-ции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измеряемых сигналов по п. 1.3.4.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3.3.9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арегистрировать одновременные переходные процессы сигналов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при ступенчатом изменении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с 0 до 2 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3.3.10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генератор и осциллограф. Подключить выход генератора к одному из входов осциллографа. Изменяя частоту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генера-тора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убедиться в независимости амплитуды напряжения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генерируемых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сигна-лов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 их частоты.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3.3.11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одключить выход генератора к входу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пер-вого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звена модели, а входы осциллографа - к входу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и выходу этого звена для измерения амплитуд напряжения входного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выходного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сиг-налов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наблюдения формы этих сигналов.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Если в п. 3.3.10  установлена независимость амплитуды сигнала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генера-тора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 частоты, то можно использовать только один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вход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двухканаль-ного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осциллографа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- 83 (или одноканальный осциллограф С1-107) при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по-очередном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однократном измерении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многократных измерениях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3.3.12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 снятии АЧХ исследуемого звена амплитуду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целесооб-разно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поддерживать постоянной и равной значению, при котором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отсутству-ют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нелинейные искажения в выходном сигнале.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Результаты измерений частоты генератора 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f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амплитуд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вычислений угловой частоты ω = 2πf, коэффициентов усиления  L = 20lgК и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К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/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занести в таблицу 1 (см. с. 12). Значения частоты в ней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ука-заны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применительно к  генератору ГЗ -110. При необходимости могут быть применены и большие значения частоты: 328, 656, 1312, 2624, 5248 Гц и т. д.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3.3.13 Исследование АЧХ второго и третьего звеньев модели САР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про-водятся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аналогично пунктам 1.3.11 и 1.3.12.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3.3.14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рименяя приложение А, рассчитать и построить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асимптотичес-кие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 исследованных звеньев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 построении ЛАЧХ рекомендуются следующие масштабы: для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уг-ловой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частоты  декада /10 см, для модуля 5 дБ /см. Для откладывания по оси абсцисс угловой частоты  в логарифмическом масштабе может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использовать-ся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одна из логарифмических шкал счетной линейки.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3.3.15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формить в соответствии с [8] подробный отчет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вычерчивани-ем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собранных схем, таблиц и графиков полученных СХ, ЛАЧХ и переходных процессов, с выполнением п. 3.2.4 задания и написанием выводов.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3.4  Контрольные вопросы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 Понятие СХ, ее применимость и экспериментальное определение.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 Понятие переходной характеристики (ПХ), ее применимость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экспериме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тальное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определение.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 Понятие АЧХ, ее применимость и экспериментальное определение.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4. Понятие ЛАЧХ и ЛФЧХ.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5. Получение передаточной функции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инерционного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6. Нахождение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инерционного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7. Нахождение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интегрирующего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8. Нахождение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интегрирующего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9. Нахождение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дифференцирующего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10. Нахождение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дифференцирующего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11. Нахождение передаточной функции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изодромного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12. Нахождение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изодромного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звена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13. Построить асимптотическую ЛАЧХ звена, имеющего передаточную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функ-цию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+1) / 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14. Построить асимптотическую ЛАЧХ звена, имеющего передаточную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функ-цию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(5р +1) /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+1).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15. Построить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асимптотическую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 звена, имеющего передаточную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функ-цию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2р / (3р +1).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16. Построить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асимптотическую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ЛАЧХ звена, имеющего передаточную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функ-цию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10 / [(5р +1)(2р +1)].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17. Построить асимптотическую ЛАЧХ звена, имеющего передаточную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функ-цию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100 / р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4 Лабораторная работа. Исследование устойчивости и качества САР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 работы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: получение навыков в исследовании замкнутых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Оборудование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(см. рисунок 5): установленные в настольном стенде «Многоконтурные САУ» регулируемый стабилизированный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двухполярный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источник возмущения (ИВ) с встроенным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стрелочным вольтметром,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выпол-ненная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операционных усилителях трехзвенная электронная модель САР,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че-тырехканальный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АЦП и ПЭВМ со специальным программным обеспечением, позволяющие измерять и регистрировать одновременно четыре сигнала, 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так-же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низкочастотный генератор, например, функциональный генератор DEGEM SYSTEM-141В1 или прецизионный генератор Г3-110.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Верхнее положение ручек тумблеров стенда соответствует их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включен-ному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состоянию. Коэффициенты передачи делителей напряжения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потенцио-метров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…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регулируются в пределах 0…1.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Более подробное описание лабораторного оборудования приведено в разделе 1.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4.1 Краткие теоретические сведения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4.1.1 Понятие устойчивости линейных непрерывных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Система называется устойчивой, если: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noProof/>
          <w:sz w:val="28"/>
          <w:szCs w:val="28"/>
          <w:lang w:eastAsia="zh-CN"/>
        </w:rPr>
        <w:drawing>
          <wp:inline distT="0" distB="0" distL="0" distR="0">
            <wp:extent cx="5918200" cy="1943100"/>
            <wp:effectExtent l="0" t="0" r="0" b="0"/>
            <wp:docPr id="5" name="Рисунок 5" descr="http://libr.aues.kz/facultet/tef/kaf_ik/45/umm/ik_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r.aues.kz/facultet/tef/kaf_ik/45/umm/ik_3.files/image0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Рисунок 5 – Функционально-принципиальная схема модели замкнутой САР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после снятия воздействия по окончании переходного процесса она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воз-вращается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исходное равновесное состояние;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- после изменения воздействия на постоянную величину по окончании переходного процесса она приходит в новое равновесное состояние.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Необходимым и достаточным условием устойчивости САР является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рас-положение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корней ее характеристического уравнения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левой комплексной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по-луплоскости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Мнимая ось плоскости корней служит границей устойчивости.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Вычисление корней просто лишь для уравнений первой и второй степени. Поэтому важное значение приобретают правила, называемые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критериями </w:t>
      </w:r>
      <w:proofErr w:type="spellStart"/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ус-тойчивости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позволяющие определять устойчивость системы без вычисления корней ее характеристического уравнения.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 основным критериям устойчивости относятся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алгебраический критерий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Гурвица 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частотные критерии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Михайлова и Найквиста [1].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Если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 коэффициент передачи разомкнутой САР, то его предельное значение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ГР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при котором САР теряет устойчивость, называют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критическим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или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граничным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 помощью критериев устойчивости можно строить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области </w:t>
      </w:r>
      <w:proofErr w:type="spellStart"/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устойчиво-сти</w:t>
      </w:r>
      <w:proofErr w:type="spellEnd"/>
      <w:proofErr w:type="gram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.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Если система в пространстве всех своих параметров не имеет области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ус-тойчивости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она называется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структурно неустойчивой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Для получения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устой-чивой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 в этом случае надо изменить ее структуру.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4.1.2 Критерий устойчивости Найквиста и его физический смысл.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Критерий Найквиста позволяет оценить устойчивость замкнутой САР по ее разомкнутой цепи.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этого строят амплитудно-фазовую характеристику (АФХ)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разомкнутой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 (годограф Найквиста).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Если разомкнутая САР устойчива, то формулировка критерия Найквиста такова: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для устойчивости замкнутой САР необходимо и достаточно, чтобы годограф Найквиста при изменении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ω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 от 0 </w:t>
      </w:r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до</w:t>
      </w:r>
      <w:proofErr w:type="gram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∞ не охватывал точку с 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коорди-натами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(-1, j0).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Физический смысл критерия Найквиста состоит в том, что при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увеличе-нии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частоты входного воздействия до некоторого значения ω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сигнал, проход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я-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щий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 цепи обратной связи, оказывается в 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противофазе с входным. Это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равно-сильно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замене отрицательной обратной связи (ООС)  положительной (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ПОС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 Если же при частоте ω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разомкнутый контур обладает усилением, т. е. К(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&gt;1, то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замкнутая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 становится неустойчивой. Частоту ω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называют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частотой переворота фазы.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Несмотря на наглядность и физическую простоту, критерий Найквиста имеет существенный недостаток – вычислительные трудности при разделении вещественной и мнимой частей W(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jω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 соответствии с критерием Найквиста об устойчивости можно судить не только по АФХ, но и совместно по АЧХ и ФЧХ разомкнутой цепи. Обычно при этом пользуются логарифмическими характеристиками ЛАЧХ и ЛФЧХ из-за простоты их построения. САР будет абсолютно устойчива, если ω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ср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&lt; ω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4.1.3 Запасы устойчивости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 оценке устойчивости САР одного факта устойчивости недостаточно. Надо еще оценить величину запаса устойчивости, т. е. удаленность системы от границы устойчивости. Основное распространение получили вытекающие из критерия Найквиста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запас устойчивости по фазе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Δφ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запас устойчивости по амплитуде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(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модулю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ΔL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Запас ΔL определяется величиной подъема ЛАЧХ, при котором система окажется на границе устойчивости: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          ΔL = 20lgК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ГР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- 20lgК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   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или ΔL = │L(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ω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)│.                                (1)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Запас устойчивости по фазе Δφ показывает, на какое значение ФЧХ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ра-зомкнутой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 на частоте ω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ср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отличается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π.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наличии ЛАЧХ и ЛФЧХ запасы устойчивости ΔL и Δφ отсчитываются прямо с графиков.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4.1.4 Показатели качества управления в статическом режиме.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САР может находиться в одном из двух режимов –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стационарном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уста-новившемся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переходном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Стационарный режим может быть двух типов: </w:t>
      </w:r>
      <w:proofErr w:type="spellStart"/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ста-тический</w:t>
      </w:r>
      <w:proofErr w:type="spellEnd"/>
      <w:proofErr w:type="gram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динамический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[1].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В статическом режиме, при котором все внешние воздействия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парамет-ры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системы не меняются, качество управления характеризуется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точностью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Относительная статическая ошибка САР при отработке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задающего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воз-действия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(называется также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коэффициентом ошибки по положению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[4],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коэф-фициентом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статизма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статической системы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[2]) рассчитывается по формуле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                                   ε =1/(1 +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                                                            (2)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1 и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10  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исследуемая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 имеет единичную ООС. В этом случае экспериментально данная ошибка может быть оценена как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                            ε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Э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100 % (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/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                                             (3)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 коэффициенте передачи первого звена САР К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= 1 можно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воспользо-ваться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дополнительной формулой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                                  ε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Э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100 %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/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                                                   (4)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Системы, в которых нельзя полностью устранить  статическую ошибку, называются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статическими.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Системы, в которых при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возмущающем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воздейст-вии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отклонение выходной величины стремится к нулю и не зависит от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величи-ны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приложенного воздействия, называются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астатическими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[1].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4.1.5 Показатели качества управления в динамических режимах.   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Основными показателями, характеризующими работу САР в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динамичес-ких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режимах, являются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время переходного процесса  </w:t>
      </w:r>
      <w:proofErr w:type="spellStart"/>
      <w:proofErr w:type="gram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t</w:t>
      </w:r>
      <w:proofErr w:type="gramEnd"/>
      <w:r w:rsidRPr="009D7DE7">
        <w:rPr>
          <w:rFonts w:ascii="Georgia" w:eastAsia="Times New Roman" w:hAnsi="Georgia" w:cs="Times New Roman"/>
          <w:i/>
          <w:iCs/>
          <w:sz w:val="28"/>
          <w:szCs w:val="28"/>
          <w:vertAlign w:val="subscript"/>
          <w:lang w:eastAsia="ru-RU"/>
        </w:rPr>
        <w:t>П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перерегулирование  σ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Их можно определить по переходной характеристике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CАР.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Время 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характеризует быстродействие системы и определяется как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ин-тервал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времени от начала переходного процесса до момента, когда отклонение выходной величины от ее нового установившегося значения 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УСТ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становится меньше достаточно малой величины, обычно принимаемой  0,05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УСТ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Перерегулированием называется максимальное отклонение выходной величины  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М1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 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УСТ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выраженное в процентах,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                            σ = 100 %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( 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М1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УСТ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)/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УСТ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                                          (5)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Дополнительными показателями качества считаются [1] </w:t>
      </w:r>
      <w:proofErr w:type="spellStart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колебатель-ность</w:t>
      </w:r>
      <w:proofErr w:type="spellEnd"/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μ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период собственных колебаний. 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Колебательность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характеризует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сте-пень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затухания переходного процесса и обычно определяется отношением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со-седних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максимумов на переходной характеристике μ = 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М1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/ h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М2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зависимости от характера затухания различают следующие типы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пере-одных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характеристик: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монотонная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(нет ни одного колебания),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апериодическая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(не более одного колебания) и </w:t>
      </w:r>
      <w:r w:rsidRPr="009D7DE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колебательная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(несколько колебаний).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4.2 Предварительное расчетное задание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4.2.1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пределить устойчивость САР, характеристики звеньев которой получены при выполнении лабораторной работы № 3. Устойчивость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опреде-лить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 логарифмическим частотным характеристикам (ЛЧХ) разомкнутой системы.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 построении ЛАЧХ и ЛФЧХ рекомендуются следующие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масшта-бы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для угловой частоты  декада /10 см, для модуля 5 дБ /см, для фазы 20º/см. Для откладывания по оси абсцисс угловой частоты  в логарифмическом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мас-штабе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может применяться одна из логарифмических шкал счетной линейки.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4.2.2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спользуя формулы (1) и приложение А, рассчитать значение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коэф-фициента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усиления разомкнутой системы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ГР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при котором замкнутая система будет находится на границе устойчивости.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4.2.3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ассчитать значение частоты среза разомкнутой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4.2.4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сли САР устойчива, рассчитать ее запасы устойчивости по модулю ΔL и фазе Δφ.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4.2.5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 формуле (2) рассчитать величину относительной статической ошибки САР по задающему воздействию.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4.3 Рабочее задание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4.3.1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обрать замкнутую САР, звенья которой имеют настроечные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пара-метры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примененные в лабораторной работе № 3.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4.3.2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нять переходной процесс сигнала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модели САР при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ступен-чатом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изменении задающего воздействия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Определить показатели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переход-ного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процесса (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t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σ, время установления первого максимума и др.)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статичес-кую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ошибку САР по задающему воздействию.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4.3.3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пределить частоту среза разомкнутой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4.3.4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зменяя коэффициент усиления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вывести САР на границу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устой-чивости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определить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ГР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запас устойчивости по амплитуде (модулю).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4.3.5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равнить результаты расчетного задания и эксперимента. Если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на-блюдается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их существенное отличие, надо выявить и устранить ошибки.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4.4  Порядок выполнения лабораторной работы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4.4.1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стенд. С помощью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» установить коэффициент передачи второго звена модели К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0,5 (см. п.3.3.5).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обрать схему замкнутой САР по рисунку 5. Выставить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=1. Включить резисторы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6  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Конденсаторы  С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…4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5…8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С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9…12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резистор R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3 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используются так же, как в лабораторной работе № 3.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4.4.3 Входы с первого по четвертый каналов АЦП соединить с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выхода-ми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соответственно первого, второго, третьего звеньев САР и ИВ.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4.4.4 Подать питание 220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ПЭВМ. Запустить программу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регистра-ции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измеряемых сигналов по п. 1.3.4.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4.4.5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арегистрировать одновременные переходные процессы сигналов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при ступенчатом изменении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с 0 до - 5 В. При этом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ве-личины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регистрируемых сигналов должны соответствовать линейным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участ-кам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СХ звеньев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4.4.6 Показатели переходного процесса и статическая ошибка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рассчи-тываются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 формулам (3 – 5).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4.4.7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ля определения частоты среза разомкнутой САР нужно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отклю-чить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ИВ, подать питание 220 В на генератор.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Вход четвертого канала АЦП отсоединить от ИВ и соединить с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выхо-дом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генератора, вход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7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отсоединить от выхода САР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сое-динить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также с выходом генератора. В генераторе выставить частоту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f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=1 Гц и амплитуду сигнала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= 2 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4.4.8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онтролируя на мониторе ПЭВМ напряжения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1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амплитуду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гармонического выходного сигнала разомкнутой САР и не допуская их выхода за линейные участки СХ звеньев САР, путем изменения частоты генератора добиться равенства 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=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ВЫХm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 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 некоторой частоте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f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ре-гистрируемой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 генераторе. Тогда искомая частота находится по формуле ω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ср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= 2π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f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4.4.9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тключить генератор, восстановить схему по рисунку 5 и п. 4.4.3.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4.4.10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зменяя 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и неоднократно повторяя п. 4.4.5, добиться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незатуха-ющего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переходного процесса при некотором значении коэффициента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пере-дачи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второго звена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2ГР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4.4.11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пределить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2ГР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Для этого вход потенциометра «α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5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отсоединя-ется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 первого звена и подключается к выходу ИВ. Задается некоторое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зна-чение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например, 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с монитора считывается значение напряжения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Тогда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     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2ГР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=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/ U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ИВ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;    ΔL = 20lg(К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2ГР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/ К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 = 20lg(К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2ГР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/0,5) = 20lg(2К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2ГР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Экспериментальное значение К</w:t>
      </w:r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ГР </w:t>
      </w: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рассчитывается  с помощью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приложе-ния</w:t>
      </w:r>
      <w:proofErr w:type="spellEnd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формул (1). Приложение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выполнено на основе [37 - 39].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4.4.12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формить в соответствии с [8] подробный отчет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вычерчивани-ем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собранных схем, таблиц и графиков полученных ЛЧХ и переходных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про-цессов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 выполнением предварительного расчетного задания и п. 4.3.5, с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на-писанием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выводов.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4.5 Контрольные вопросы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1. Понятие устойчивости линейных непрерывных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2. Охарактеризуйте критерий устойчивости Гурвица.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3. Охарактеризуйте критерий устойчивости Найквиста.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4. Оценка устойчивости по ЛЧХ.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5. Определение граничного усиления и запаса устойчивости по ЛЧХ.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6. Аналитическое и опытное определение статической ошибки.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7. Экспериментальное определение запаса устойчивости по амплитуде.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8. Экспериментальное определение ω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vertAlign w:val="subscript"/>
          <w:lang w:eastAsia="ru-RU"/>
        </w:rPr>
        <w:t>ср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9. Показатели переходного процесса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10. Абсолютно и условно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устойчивые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11. Влияние коэффициента усиления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разомкнутой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САР на ее статическую ошибку и устойчивость в замкнутом состоянии.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12. Понятие запасов устойчивости.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13. Физический смысл критерия устойчивости Найквиста.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14. Понятие частоты переворота фазы.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15. Понятие частоты среза.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16. Понятие годографа Найквиста.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17. Понятие кривой Михайлова.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18. Охарактеризуйте критерий устойчивости Михайлова.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Приложение</w:t>
      </w:r>
      <w:proofErr w:type="gramStart"/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А</w:t>
      </w:r>
      <w:proofErr w:type="gramEnd"/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Перевод отношения амплитуд в децибелы [37 - 39]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 а б л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ц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  А.1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7"/>
        <w:gridCol w:w="916"/>
        <w:gridCol w:w="968"/>
        <w:gridCol w:w="917"/>
        <w:gridCol w:w="968"/>
        <w:gridCol w:w="917"/>
        <w:gridCol w:w="968"/>
        <w:gridCol w:w="917"/>
        <w:gridCol w:w="1116"/>
        <w:gridCol w:w="917"/>
      </w:tblGrid>
      <w:tr w:rsidR="009A0475" w:rsidRPr="009D7DE7" w:rsidTr="009A0475">
        <w:tc>
          <w:tcPr>
            <w:tcW w:w="9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Отно</w:t>
            </w:r>
            <w:proofErr w:type="spellEnd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шен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ие</w:t>
            </w:r>
            <w:proofErr w:type="spellEnd"/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Деци-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бел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Отно</w:t>
            </w:r>
            <w:proofErr w:type="spellEnd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шен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ие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Деци-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бел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Отно</w:t>
            </w:r>
            <w:proofErr w:type="spellEnd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шен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ие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Деци-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бел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Отно</w:t>
            </w:r>
            <w:proofErr w:type="spellEnd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шен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ие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Деци-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бел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Отно</w:t>
            </w:r>
            <w:proofErr w:type="spellEnd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spellStart"/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шен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ие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Деци-</w:t>
            </w:r>
          </w:p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бел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1,000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1,641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2,692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4,416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1,660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2,723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4,467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7,328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17,3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1,679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2,754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4,519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7,413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1,698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4,571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7,499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1,718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2,818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7,586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17,6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1,738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4,677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7,674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17,7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1,758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2,884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4,732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7,762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1,778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2,917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1,799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2,951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4,842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7,943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1,820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2,985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4,898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8,035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1,841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3,020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4,955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18,2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1,884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5,070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8,318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1,905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3,126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18,5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1,928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3,162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5,188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1,189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1,950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3,199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5,248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8,610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1,972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3,236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5,309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18,8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1,995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3,273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5,370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8,811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18,9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2,018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3,311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5,433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8,913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2,042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5,495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19,1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2,065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3,388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19,2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1,27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3,42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10,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5,62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15,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9,22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19,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1,288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3,467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5,689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2,138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5,754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9,441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2,163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3,548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5,821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9,550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2,188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3,589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5,888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9,661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19,7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2,213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3,631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5,957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9,772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19,8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2,239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3,673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6,026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9,886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2,265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3,715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1,396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2,291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3,758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6,166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1,413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2,317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3,802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6,237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1,429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2,344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3,846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316,2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1,445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2,371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3,890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1,462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2,399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6,457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1,479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3,981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6,531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1,496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2,455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4,027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6,607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31620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1,514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2,483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4,074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6,683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1,531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6,761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316200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1,549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2,541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4,169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6,839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1,567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2,570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4,217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6,918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3162·10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1,585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4,266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6,998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1,603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2,630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4,315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7,079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3162·10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A0475" w:rsidRPr="009D7DE7" w:rsidTr="009A0475">
        <w:tc>
          <w:tcPr>
            <w:tcW w:w="95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1,622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2,661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4,365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7,161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10</w:t>
            </w:r>
            <w:r w:rsidRPr="009D7DE7">
              <w:rPr>
                <w:rFonts w:ascii="Georgia" w:eastAsia="Times New Roman" w:hAnsi="Georgia" w:cs="Times New Roman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75" w:rsidRPr="009D7DE7" w:rsidRDefault="009A0475" w:rsidP="009A0475">
            <w:pPr>
              <w:spacing w:before="100" w:beforeAutospacing="1" w:after="100" w:afterAutospacing="1" w:line="240" w:lineRule="auto"/>
              <w:ind w:right="200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9D7DE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160,0</w:t>
            </w:r>
          </w:p>
        </w:tc>
      </w:tr>
    </w:tbl>
    <w:p w:rsidR="000C667F" w:rsidRPr="009D7DE7" w:rsidRDefault="000C667F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0C667F" w:rsidRPr="009D7DE7" w:rsidRDefault="000C667F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0C667F" w:rsidRPr="009D7DE7" w:rsidRDefault="000C667F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Список литературы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Коновалов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Б.И., Лебедев Ю.М. Теория автоматического управления. – СПб.: Издательство «Лань», 2010. – 224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Бесекерский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В.А., Попов Е.П. Теория систем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автоматического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управ-ления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– СПб.: Изд-во  «Профессия»,  2004. – 752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Анхимюк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В.Л.,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Опейко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О.Ф., Михеев Н.Н. Теория автоматического управления. – Мн.: Дизайн ПРО, 2002. – 352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4.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Коновалов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Г.Ф. Радиоавтоматика. – М.: Радиотехника, 2003. – 288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5. Теория автоматического управления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ред. В.И. Лачина. – Ростов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н</w:t>
      </w:r>
      <w:proofErr w:type="spellEnd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/Д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: Феникс, 2007. - 469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6. Гайдук А.Р., Беляев В.Е.,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Пьявченко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Т.А. Теория автоматического управления в примерах и задачах  с решениями в МАТ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L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АВ. - СПб.: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Издатель-ство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«Лань», 2011. – 464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7.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Шишмарев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В.Ю. Основы автоматического управления. – М.: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Изда-тельский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центр «Академия», 2008. – 352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8. Стандарт организации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НАО 56023-1910-01-2009  Работы учебные. Общие требования к построению, изложению, оформлению и содержанию учебной документации. –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Алматы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: АИЭС, 2009. – 38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9. Теория автоматического управления / Под ред. Ю.М.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Соломенцева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-М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Высш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., 2003 – 268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10. Макаров И.М.,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Менский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Б.М. Линейные автоматические системы. – М.: Машиностроение, 1982. – 504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11. Сборник задач по теории  автоматического регулирования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управ-ления</w:t>
      </w:r>
      <w:proofErr w:type="spellEnd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ред. В.А.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Бесекерского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– М.: Издательство «Наука», Главная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ре-дакция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физико-математической литературы,1978. – 512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12.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Афонский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А.А., Дьяконов В.П. Измерительные приборы и массовые электронные измерения. – М.: СОЛОН-ПРЕСС, 2007. – 544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13.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Атамалян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Э.Г. Приборы и методы измерения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электрических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вели-чин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– М.: Дрофа, 2005. – 415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14. Метрология и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электрорадиоизмерения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телекоммуникационных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си-стемах</w:t>
      </w:r>
      <w:proofErr w:type="spellEnd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общей редакцией Б.Н.Тихонова. – М.: Горячая линия-Телеком, 2007. – 374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15. Дьяконов В.П. Современная осциллография и осциллографы. – М.: СОЛОН-Пресс, 2005. – 320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16.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Бишард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Е.Г., Киселева Е.А., Лебедев Г.П. и др. Аналоговые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электро-измерительные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приборы. – М.: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Высш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., 1991. - 415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17. Мирский Г.Я. Электронные измерения. – М.: Радио и связь, 1986. – 440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18. Справочник по радиоизмерительным приборам: В 3-х т. Т.3.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Измере-ние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электромагнитных полей. Анализ спектра. Осциллография. Импульсные измерения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ред. В.С. Насонова. – М.: Сов. Радио, 1979. – 424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19.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Тетельбаум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И.М., Шнейдер Ю.Р. Практика аналогового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моделирова-ния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динамических систем. – М.: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Энергоатомиздат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1987. – 384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20. Горбацевич Е.Д.,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Левинзон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Ф.Ф. Аналоговое моделирование систем управления. – М.: Наука. Главная редакция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физико-математической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литерату-ры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1984. - 304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21. Справочник по радиоизмерительным приборам: В 3-х т. Т.2.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Измере-ние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частоты, времени и мощности. Измерительные генераторы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ред.  В.С. Насонова. – М.: Сов. Радио, 1978. – 272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22. Вавилов А.А., Солодовников А.И.,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Шнайдер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В.В. Низкочастотные измерительные генераторы. – Л.: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Энергоатомиздат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Ленингр.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отд-ние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1985. – 104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23. Дьяконов В.П. Генерация и генераторы сигналов. – М.: ДМК Пресс, 2009. – 384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24. Ким Д.П. Теория автоматического управления. Т.1. Линейные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систе-мы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 – М.: ФИЗМАТЛИТ, 2007. – 312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25. Ким Д.П., Дмитриева Н.Д. Сборник задач по теории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автоматическо-го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управления. Линейные системы. – М.: ФИЗМАТЛИТ, 2007. – 168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26. Мирошник И.В. Теория автоматического управления. Линейные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сис-темы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– СПб.: Питер, 2005. – 336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27. Теория автоматического управления. В 2-х ч. Ч. I. Теория линейных систем автоматического управления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ред. А.А. Воронова. – М.: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Высш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., 1986. – 367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28. Малафеев С.И., Малафеева А.А. Основы автоматики и системы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авто-матического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управления. – М.: Издательский центр «Академия», 2010. – 384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29. Волобуева О.П. Основы теории управления. –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Алматы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КазНТУ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, 2005. – 256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30. Востриков А.С.,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Французова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Г.А. Теория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автоматического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управле-ния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– М.: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Высш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., 2004. – 365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31. Гальперин М.В. Автоматическое управление. – М.: ИД «ФОРУМ»: ИНФРА-М, 2007. – 224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32.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Лукас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В.А. Теория автоматического управления. – М.: Недра, 1990. – 416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33. Теория автоматического управления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ред. В.Б. Яковлева. – М.: Высшая школа, 2009. – 567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34. Певзнер Л.Д. Практикум по теории автоматического управления. - М.: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Высш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., 2006. – 590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35. Юревич Е.И. Теория автоматического управления. – СПб.: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БХВ-Пе-тербург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2007. – 560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36. 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Ротач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В.Я. Теория автоматического управления. – М.: Издательство МЭИ, 2008. – 400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 37. Задачник по теории автоматического управления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 П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ред. А.С.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Ша-талова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– М.: Энергия, 1979. – 544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38. Сигов А.С., Нефедов В.И. Метрология, стандартизация и </w:t>
      </w:r>
      <w:proofErr w:type="spellStart"/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техничес-кие</w:t>
      </w:r>
      <w:proofErr w:type="spellEnd"/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измерения. - М.: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Высш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шк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., 2008. – 624 с.</w:t>
      </w:r>
    </w:p>
    <w:p w:rsidR="009A0475" w:rsidRPr="009D7DE7" w:rsidRDefault="009A0475" w:rsidP="009A0475">
      <w:pPr>
        <w:spacing w:before="100" w:beforeAutospacing="1" w:after="100" w:afterAutospacing="1" w:line="240" w:lineRule="auto"/>
        <w:ind w:right="20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39.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Деньгуб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В.М., Смирнов В.Г. Единицы величин. – М.: Изд-во </w:t>
      </w:r>
      <w:proofErr w:type="spell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стан-дартов</w:t>
      </w:r>
      <w:proofErr w:type="spell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1990. – 240 </w:t>
      </w:r>
      <w:proofErr w:type="gramStart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9D7DE7">
        <w:rPr>
          <w:rFonts w:ascii="Georgia" w:eastAsia="Times New Roman" w:hAnsi="Georgia" w:cs="Times New Roman"/>
          <w:sz w:val="28"/>
          <w:szCs w:val="28"/>
          <w:lang w:eastAsia="ru-RU"/>
        </w:rPr>
        <w:t>.         </w:t>
      </w:r>
    </w:p>
    <w:p w:rsidR="009A0475" w:rsidRPr="009D7DE7" w:rsidRDefault="009A0475"/>
    <w:sectPr w:rsidR="009A0475" w:rsidRPr="009D7DE7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0475"/>
    <w:rsid w:val="000426F5"/>
    <w:rsid w:val="000C667F"/>
    <w:rsid w:val="000D6F18"/>
    <w:rsid w:val="001364F0"/>
    <w:rsid w:val="00240A14"/>
    <w:rsid w:val="00340055"/>
    <w:rsid w:val="00393BF9"/>
    <w:rsid w:val="004D06A3"/>
    <w:rsid w:val="006A3AB2"/>
    <w:rsid w:val="0076569D"/>
    <w:rsid w:val="00765890"/>
    <w:rsid w:val="00875D8C"/>
    <w:rsid w:val="009A0475"/>
    <w:rsid w:val="009D7DE7"/>
    <w:rsid w:val="00AD39C3"/>
    <w:rsid w:val="00CC1CEC"/>
    <w:rsid w:val="00E13D59"/>
    <w:rsid w:val="00EF7173"/>
    <w:rsid w:val="00F43B70"/>
    <w:rsid w:val="00FA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9624</Words>
  <Characters>54859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HP pc</cp:lastModifiedBy>
  <cp:revision>4</cp:revision>
  <dcterms:created xsi:type="dcterms:W3CDTF">2019-09-28T18:25:00Z</dcterms:created>
  <dcterms:modified xsi:type="dcterms:W3CDTF">2019-09-22T04:51:00Z</dcterms:modified>
</cp:coreProperties>
</file>